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32013" w14:textId="77777777" w:rsidR="00013E0F" w:rsidRDefault="00F22B5F">
      <w:r>
        <w:t>Often small conservation steps can make a huge difference.  The importance of installing escape ramps in high desert watering troughs hit home to the district in a big way when the District Manager inspected a trough that did not have these ramps and found</w:t>
      </w:r>
      <w:r>
        <w:t xml:space="preserve"> nearly twenty drowned chipmunks in the trough.   While it was sad to see those cute little critters floating lifeless it could also create further trouble for the landowner when those bodies decay.  Cattle will not want to drink water fouled with rotted r</w:t>
      </w:r>
      <w:r>
        <w:t>odents and there is potential for disease spread to livestock and wildlife both.  And while it is sad to think about chipmunks, what if instead it had happened to an animal whose numbers are steadily shrinking?</w:t>
      </w:r>
    </w:p>
    <w:p w14:paraId="23626E3E" w14:textId="77777777" w:rsidR="00013E0F" w:rsidRDefault="00F22B5F">
      <w:r>
        <w:t>The Harney Soil and Water Conservation Distri</w:t>
      </w:r>
      <w:r>
        <w:t xml:space="preserve">ct utilized funds from OrW Grant #21-05 to purchase an inventory of livestock ramps of varying sizes and shapes to mitigate such a risk in the future.  These ramps are available to landowners for purchase now or will be incorporated into future projects.  </w:t>
      </w:r>
    </w:p>
    <w:p w14:paraId="122C0563" w14:textId="77777777" w:rsidR="00013E0F" w:rsidRDefault="00F22B5F">
      <w:r>
        <w:t>Another such small step just completed is having an inventory of fence markers available to landowners to prevent birds from colliding into barbed wire fencing.  Placing these markers will avoid unnecessary wildlife death from fence strikes and prevent fe</w:t>
      </w:r>
      <w:r>
        <w:t xml:space="preserve">ncing damage that could lead to cattle grazing where they shouldn’t.  </w:t>
      </w:r>
    </w:p>
    <w:p w14:paraId="3DD757AB" w14:textId="77777777" w:rsidR="00013E0F" w:rsidRDefault="00F22B5F">
      <w:r>
        <w:t>Our goal is to have 100% participation from landowners and managers.  The district considers these people partners in conserving the sage grouse and other wildlife.  Contacting landowne</w:t>
      </w:r>
      <w:r>
        <w:t>rs to reveal these small steps will help them make their lands safe for animals and productive for cattle.  The district further serves as a bridge between the landowner and government entities who fund these projects and previously may have been seen as a</w:t>
      </w:r>
      <w:r>
        <w:t>n enemy.</w:t>
      </w:r>
    </w:p>
    <w:p w14:paraId="094B1783" w14:textId="77777777" w:rsidR="00013E0F" w:rsidRDefault="00F22B5F">
      <w:r>
        <w:t>The provided grant funds also helped stimulate the local economy.  Fence markers were made at a local high school.  This enabled students to gain work skills, hone ethics, and funded projects for them.  The escape ramps were also fabricated locall</w:t>
      </w:r>
      <w:r>
        <w:t>y.  Knowing that the district supports local employers and projects also demonstrates to the landowners we are invested in a strong community.</w:t>
      </w:r>
    </w:p>
    <w:p w14:paraId="20D1AEA5" w14:textId="77777777" w:rsidR="00013E0F" w:rsidRDefault="00013E0F"/>
    <w:p w14:paraId="2725B04F" w14:textId="35F3156C" w:rsidR="00013E0F" w:rsidRDefault="00F22B5F" w:rsidP="00DB0791">
      <w:pPr>
        <w:ind w:left="-360" w:right="-450"/>
      </w:pPr>
      <w:r>
        <w:rPr>
          <w:noProof/>
        </w:rPr>
        <w:lastRenderedPageBreak/>
        <w:drawing>
          <wp:inline distT="0" distB="0" distL="0" distR="0" wp14:anchorId="46573281" wp14:editId="1A395003">
            <wp:extent cx="3625726" cy="2719294"/>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rot="5400000">
                      <a:off x="0" y="0"/>
                      <a:ext cx="3625726" cy="2719294"/>
                    </a:xfrm>
                    <a:prstGeom prst="rect">
                      <a:avLst/>
                    </a:prstGeom>
                    <a:ln/>
                  </pic:spPr>
                </pic:pic>
              </a:graphicData>
            </a:graphic>
          </wp:inline>
        </w:drawing>
      </w:r>
      <w:r w:rsidR="00DB0791">
        <w:t xml:space="preserve"> </w:t>
      </w:r>
      <w:r w:rsidR="00DB0791">
        <w:rPr>
          <w:noProof/>
        </w:rPr>
        <w:drawing>
          <wp:inline distT="0" distB="0" distL="0" distR="0" wp14:anchorId="3E27A6E4" wp14:editId="129D7D11">
            <wp:extent cx="3616960" cy="271272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6960" cy="2712720"/>
                    </a:xfrm>
                    <a:prstGeom prst="rect">
                      <a:avLst/>
                    </a:prstGeom>
                  </pic:spPr>
                </pic:pic>
              </a:graphicData>
            </a:graphic>
          </wp:inline>
        </w:drawing>
      </w:r>
    </w:p>
    <w:p w14:paraId="49899192" w14:textId="1CB6DA8C" w:rsidR="00DB0791" w:rsidRDefault="00DB0791">
      <w:r>
        <w:rPr>
          <w:noProof/>
        </w:rPr>
        <w:drawing>
          <wp:inline distT="0" distB="0" distL="0" distR="0" wp14:anchorId="2DEAF3AB" wp14:editId="3635E7DC">
            <wp:extent cx="4518660" cy="33889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8660" cy="3388995"/>
                    </a:xfrm>
                    <a:prstGeom prst="rect">
                      <a:avLst/>
                    </a:prstGeom>
                  </pic:spPr>
                </pic:pic>
              </a:graphicData>
            </a:graphic>
          </wp:inline>
        </w:drawing>
      </w:r>
    </w:p>
    <w:p w14:paraId="6F28E445" w14:textId="32F63F90" w:rsidR="00013E0F" w:rsidRDefault="00366CE9">
      <w:r>
        <w:rPr>
          <w:noProof/>
        </w:rPr>
        <w:lastRenderedPageBreak/>
        <w:drawing>
          <wp:inline distT="0" distB="0" distL="0" distR="0" wp14:anchorId="2BF13967" wp14:editId="43339091">
            <wp:extent cx="5943600" cy="28892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889250"/>
                    </a:xfrm>
                    <a:prstGeom prst="rect">
                      <a:avLst/>
                    </a:prstGeom>
                  </pic:spPr>
                </pic:pic>
              </a:graphicData>
            </a:graphic>
          </wp:inline>
        </w:drawing>
      </w:r>
    </w:p>
    <w:p w14:paraId="0ECA1F82" w14:textId="77777777" w:rsidR="00013E0F" w:rsidRDefault="00013E0F"/>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5"/>
        <w:gridCol w:w="4395"/>
      </w:tblGrid>
      <w:tr w:rsidR="00013E0F" w14:paraId="4E8CA00B" w14:textId="77777777">
        <w:tc>
          <w:tcPr>
            <w:tcW w:w="4965" w:type="dxa"/>
            <w:shd w:val="clear" w:color="auto" w:fill="auto"/>
            <w:tcMar>
              <w:top w:w="100" w:type="dxa"/>
              <w:left w:w="100" w:type="dxa"/>
              <w:bottom w:w="100" w:type="dxa"/>
              <w:right w:w="100" w:type="dxa"/>
            </w:tcMar>
          </w:tcPr>
          <w:p w14:paraId="7B277C30" w14:textId="77777777" w:rsidR="00013E0F" w:rsidRDefault="00F22B5F">
            <w:pPr>
              <w:widowControl w:val="0"/>
              <w:pBdr>
                <w:top w:val="nil"/>
                <w:left w:val="nil"/>
                <w:bottom w:val="nil"/>
                <w:right w:val="nil"/>
                <w:between w:val="nil"/>
              </w:pBdr>
              <w:spacing w:after="0" w:line="240" w:lineRule="auto"/>
            </w:pPr>
            <w:r>
              <w:t>One of our volunteers marking t</w:t>
            </w:r>
            <w:r>
              <w:t>he distance between fence markers and fence posts:</w:t>
            </w:r>
          </w:p>
        </w:tc>
        <w:tc>
          <w:tcPr>
            <w:tcW w:w="4395" w:type="dxa"/>
            <w:shd w:val="clear" w:color="auto" w:fill="auto"/>
            <w:tcMar>
              <w:top w:w="100" w:type="dxa"/>
              <w:left w:w="100" w:type="dxa"/>
              <w:bottom w:w="100" w:type="dxa"/>
              <w:right w:w="100" w:type="dxa"/>
            </w:tcMar>
          </w:tcPr>
          <w:p w14:paraId="34D445F5" w14:textId="77777777" w:rsidR="00013E0F" w:rsidRDefault="00F22B5F">
            <w:pPr>
              <w:widowControl w:val="0"/>
              <w:spacing w:after="0" w:line="240" w:lineRule="auto"/>
            </w:pPr>
            <w:r>
              <w:rPr>
                <w:noProof/>
              </w:rPr>
              <w:drawing>
                <wp:inline distT="114300" distB="114300" distL="114300" distR="114300" wp14:anchorId="7198F27F" wp14:editId="139BE00F">
                  <wp:extent cx="2395538" cy="3167177"/>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2395538" cy="3167177"/>
                          </a:xfrm>
                          <a:prstGeom prst="rect">
                            <a:avLst/>
                          </a:prstGeom>
                          <a:ln/>
                        </pic:spPr>
                      </pic:pic>
                    </a:graphicData>
                  </a:graphic>
                </wp:inline>
              </w:drawing>
            </w:r>
          </w:p>
        </w:tc>
      </w:tr>
      <w:tr w:rsidR="00013E0F" w14:paraId="733D9FF3" w14:textId="77777777">
        <w:tc>
          <w:tcPr>
            <w:tcW w:w="4965" w:type="dxa"/>
            <w:shd w:val="clear" w:color="auto" w:fill="auto"/>
            <w:tcMar>
              <w:top w:w="100" w:type="dxa"/>
              <w:left w:w="100" w:type="dxa"/>
              <w:bottom w:w="100" w:type="dxa"/>
              <w:right w:w="100" w:type="dxa"/>
            </w:tcMar>
          </w:tcPr>
          <w:p w14:paraId="03E4B040" w14:textId="77777777" w:rsidR="00013E0F" w:rsidRDefault="00F22B5F">
            <w:pPr>
              <w:widowControl w:val="0"/>
              <w:pBdr>
                <w:top w:val="nil"/>
                <w:left w:val="nil"/>
                <w:bottom w:val="nil"/>
                <w:right w:val="nil"/>
                <w:between w:val="nil"/>
              </w:pBdr>
              <w:spacing w:after="0" w:line="240" w:lineRule="auto"/>
            </w:pPr>
            <w:r>
              <w:lastRenderedPageBreak/>
              <w:t>Here she is clipping markers to the fence:</w:t>
            </w:r>
          </w:p>
        </w:tc>
        <w:tc>
          <w:tcPr>
            <w:tcW w:w="4395" w:type="dxa"/>
            <w:shd w:val="clear" w:color="auto" w:fill="auto"/>
            <w:tcMar>
              <w:top w:w="100" w:type="dxa"/>
              <w:left w:w="100" w:type="dxa"/>
              <w:bottom w:w="100" w:type="dxa"/>
              <w:right w:w="100" w:type="dxa"/>
            </w:tcMar>
          </w:tcPr>
          <w:p w14:paraId="774A2A17" w14:textId="77777777" w:rsidR="00013E0F" w:rsidRDefault="00F22B5F">
            <w:pPr>
              <w:widowControl w:val="0"/>
              <w:spacing w:after="0" w:line="240" w:lineRule="auto"/>
            </w:pPr>
            <w:r>
              <w:rPr>
                <w:noProof/>
              </w:rPr>
              <w:drawing>
                <wp:inline distT="114300" distB="114300" distL="114300" distR="114300" wp14:anchorId="5DEF64E8" wp14:editId="43FF00BB">
                  <wp:extent cx="2395538" cy="3533775"/>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2395538" cy="3533775"/>
                          </a:xfrm>
                          <a:prstGeom prst="rect">
                            <a:avLst/>
                          </a:prstGeom>
                          <a:ln/>
                        </pic:spPr>
                      </pic:pic>
                    </a:graphicData>
                  </a:graphic>
                </wp:inline>
              </w:drawing>
            </w:r>
          </w:p>
        </w:tc>
      </w:tr>
    </w:tbl>
    <w:p w14:paraId="1E2E2730" w14:textId="77777777" w:rsidR="00013E0F" w:rsidRDefault="00013E0F"/>
    <w:p w14:paraId="6BA2244B" w14:textId="77777777" w:rsidR="00013E0F" w:rsidRDefault="00013E0F"/>
    <w:sectPr w:rsidR="00013E0F" w:rsidSect="00DB0791">
      <w:headerReference w:type="default" r:id="rId13"/>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485E4" w14:textId="77777777" w:rsidR="00F22B5F" w:rsidRDefault="00F22B5F">
      <w:pPr>
        <w:spacing w:after="0" w:line="240" w:lineRule="auto"/>
      </w:pPr>
      <w:r>
        <w:separator/>
      </w:r>
    </w:p>
  </w:endnote>
  <w:endnote w:type="continuationSeparator" w:id="0">
    <w:p w14:paraId="2FFF74FE" w14:textId="77777777" w:rsidR="00F22B5F" w:rsidRDefault="00F22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92805" w14:textId="77777777" w:rsidR="00F22B5F" w:rsidRDefault="00F22B5F">
      <w:pPr>
        <w:spacing w:after="0" w:line="240" w:lineRule="auto"/>
      </w:pPr>
      <w:r>
        <w:separator/>
      </w:r>
    </w:p>
  </w:footnote>
  <w:footnote w:type="continuationSeparator" w:id="0">
    <w:p w14:paraId="09EEA4A1" w14:textId="77777777" w:rsidR="00F22B5F" w:rsidRDefault="00F22B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B06B8" w14:textId="77777777" w:rsidR="00013E0F" w:rsidRDefault="00F22B5F">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331348A0" wp14:editId="05D5ECAF">
          <wp:extent cx="5943600" cy="143256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143256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E0F"/>
    <w:rsid w:val="00013E0F"/>
    <w:rsid w:val="00366CE9"/>
    <w:rsid w:val="00B96682"/>
    <w:rsid w:val="00DB0791"/>
    <w:rsid w:val="00F22B5F"/>
    <w:rsid w:val="00F96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5B1C"/>
  <w15:docId w15:val="{14B48F3F-9E7F-40D5-9C9D-19E5B9C69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466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66E8"/>
  </w:style>
  <w:style w:type="paragraph" w:styleId="Footer">
    <w:name w:val="footer"/>
    <w:basedOn w:val="Normal"/>
    <w:link w:val="FooterChar"/>
    <w:uiPriority w:val="99"/>
    <w:unhideWhenUsed/>
    <w:rsid w:val="001466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66E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91ALE2Q83y5v+5olFxMwOtd2fuQ==">AMUW2mUvIufKI2R+I8RV4oFSOqVW1Mz+DeDyfefHXNpOjPLDiINRj19TYMApe6QXXsv4i+d2pt19AGyq8xtBlZ9m3BizAtptKOyCef5M1DP8juvuV9RsKyY=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348</Words>
  <Characters>1986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SWCD</dc:creator>
  <cp:lastModifiedBy>Harney SWCD</cp:lastModifiedBy>
  <cp:revision>3</cp:revision>
  <dcterms:created xsi:type="dcterms:W3CDTF">2021-12-01T18:53:00Z</dcterms:created>
  <dcterms:modified xsi:type="dcterms:W3CDTF">2021-12-09T18:01:00Z</dcterms:modified>
</cp:coreProperties>
</file>